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utoSpaceDN w:val="0"/>
        <w:spacing w:line="594" w:lineRule="exact"/>
        <w:rPr>
          <w:rFonts w:hint="eastAsia" w:ascii="方正仿宋简体" w:hAnsi="方正仿宋简体" w:eastAsia="方正仿宋简体" w:cs="方正仿宋简体"/>
          <w:color w:val="000000"/>
          <w:sz w:val="32"/>
          <w:szCs w:val="32"/>
        </w:rPr>
      </w:pPr>
      <w:r>
        <w:rPr>
          <w:rFonts w:hint="eastAsia" w:ascii="方正黑体简体" w:hAnsi="方正仿宋简体" w:eastAsia="方正黑体简体" w:cs="方正仿宋简体"/>
          <w:color w:val="000000"/>
          <w:sz w:val="32"/>
          <w:szCs w:val="32"/>
        </w:rPr>
        <w:t>附件</w:t>
      </w:r>
    </w:p>
    <w:p>
      <w:pPr>
        <w:autoSpaceDN w:val="0"/>
        <w:spacing w:line="594" w:lineRule="exact"/>
        <w:ind w:firstLine="482"/>
        <w:jc w:val="center"/>
        <w:rPr>
          <w:rFonts w:hint="eastAsia" w:ascii="楷体" w:hAnsi="楷体" w:eastAsia="楷体" w:cs="楷体"/>
          <w:b/>
          <w:color w:val="000000"/>
          <w:sz w:val="32"/>
          <w:szCs w:val="32"/>
        </w:rPr>
      </w:pPr>
      <w:r>
        <w:rPr>
          <w:rFonts w:hint="eastAsia" w:ascii="楷体" w:hAnsi="楷体" w:eastAsia="楷体" w:cs="楷体"/>
          <w:b/>
          <w:color w:val="000000"/>
          <w:sz w:val="32"/>
          <w:szCs w:val="32"/>
        </w:rPr>
        <w:t>《</w:t>
      </w:r>
      <w:bookmarkStart w:id="0" w:name="_GoBack"/>
      <w:r>
        <w:rPr>
          <w:rFonts w:hint="eastAsia" w:ascii="楷体" w:hAnsi="楷体" w:eastAsia="楷体" w:cs="楷体"/>
          <w:b/>
          <w:color w:val="000000"/>
          <w:sz w:val="32"/>
          <w:szCs w:val="32"/>
        </w:rPr>
        <w:t>计量授权管理办法</w:t>
      </w:r>
      <w:bookmarkEnd w:id="0"/>
      <w:r>
        <w:rPr>
          <w:rFonts w:hint="eastAsia" w:ascii="楷体" w:hAnsi="楷体" w:eastAsia="楷体" w:cs="楷体"/>
          <w:b/>
          <w:color w:val="000000"/>
          <w:sz w:val="32"/>
          <w:szCs w:val="32"/>
        </w:rPr>
        <w:t>》</w:t>
      </w:r>
    </w:p>
    <w:p>
      <w:pPr>
        <w:numPr>
          <w:ilvl w:val="0"/>
          <w:numId w:val="0"/>
        </w:numPr>
        <w:autoSpaceDN w:val="0"/>
        <w:spacing w:line="594" w:lineRule="exact"/>
        <w:rPr>
          <w:rFonts w:hint="default" w:ascii="方正仿宋简体" w:hAnsi="方正仿宋简体" w:eastAsia="方正仿宋简体" w:cs="方正仿宋简体"/>
          <w:color w:val="000000"/>
          <w:sz w:val="32"/>
          <w:szCs w:val="32"/>
        </w:rPr>
      </w:pPr>
      <w:r>
        <w:rPr>
          <w:rFonts w:hint="default" w:ascii="方正仿宋简体" w:hAnsi="方正仿宋简体" w:eastAsia="方正仿宋简体" w:cs="方正仿宋简体"/>
          <w:color w:val="000000"/>
          <w:sz w:val="32"/>
          <w:szCs w:val="32"/>
        </w:rPr>
        <w:t xml:space="preserve">    </w:t>
      </w:r>
      <w:r>
        <w:rPr>
          <w:rFonts w:hint="default" w:ascii="方正仿宋简体" w:hAnsi="方正仿宋简体" w:eastAsia="方正仿宋简体" w:cs="方正仿宋简体"/>
          <w:b/>
          <w:bCs/>
          <w:color w:val="000000"/>
          <w:sz w:val="32"/>
          <w:szCs w:val="32"/>
        </w:rPr>
        <w:t>第三条</w:t>
      </w:r>
      <w:r>
        <w:rPr>
          <w:rFonts w:hint="default" w:ascii="方正仿宋简体" w:hAnsi="方正仿宋简体" w:eastAsia="方正仿宋简体" w:cs="方正仿宋简体"/>
          <w:color w:val="000000"/>
          <w:sz w:val="32"/>
          <w:szCs w:val="32"/>
        </w:rPr>
        <w:t>县级以上人民政府计量行政部门，应根据本行政区实施计量法的需要，充分发挥社会技术力量的作用，按照统筹规划、经济合理、就地就近、方便生产、利于管理的原则，实行计量授权。</w:t>
      </w:r>
    </w:p>
    <w:p>
      <w:pPr>
        <w:numPr>
          <w:ilvl w:val="0"/>
          <w:numId w:val="0"/>
        </w:numPr>
        <w:autoSpaceDN w:val="0"/>
        <w:spacing w:line="594" w:lineRule="exact"/>
        <w:ind w:firstLine="643" w:firstLineChars="200"/>
        <w:rPr>
          <w:rFonts w:hint="default" w:ascii="方正仿宋简体" w:hAnsi="方正仿宋简体" w:eastAsia="方正仿宋简体" w:cs="方正仿宋简体"/>
          <w:color w:val="000000"/>
          <w:sz w:val="32"/>
          <w:szCs w:val="32"/>
        </w:rPr>
      </w:pPr>
      <w:r>
        <w:rPr>
          <w:rFonts w:hint="default" w:ascii="方正仿宋简体" w:hAnsi="方正仿宋简体" w:eastAsia="方正仿宋简体" w:cs="方正仿宋简体"/>
          <w:b/>
          <w:bCs/>
          <w:color w:val="000000"/>
          <w:sz w:val="32"/>
          <w:szCs w:val="32"/>
        </w:rPr>
        <w:t>第五条</w:t>
      </w:r>
      <w:r>
        <w:rPr>
          <w:rFonts w:hint="default" w:ascii="方正仿宋简体" w:hAnsi="方正仿宋简体" w:eastAsia="方正仿宋简体" w:cs="方正仿宋简体"/>
          <w:color w:val="000000"/>
          <w:sz w:val="32"/>
          <w:szCs w:val="32"/>
        </w:rPr>
        <w:t>申请授权必须具备的条件：</w:t>
      </w:r>
    </w:p>
    <w:p>
      <w:pPr>
        <w:numPr>
          <w:ilvl w:val="0"/>
          <w:numId w:val="0"/>
        </w:numPr>
        <w:autoSpaceDN w:val="0"/>
        <w:spacing w:line="594" w:lineRule="exact"/>
        <w:ind w:firstLine="640" w:firstLineChars="200"/>
        <w:rPr>
          <w:rFonts w:hint="default" w:ascii="方正仿宋简体" w:hAnsi="方正仿宋简体" w:eastAsia="方正仿宋简体" w:cs="方正仿宋简体"/>
          <w:color w:val="000000"/>
          <w:sz w:val="32"/>
          <w:szCs w:val="32"/>
        </w:rPr>
      </w:pPr>
      <w:r>
        <w:rPr>
          <w:rFonts w:hint="default" w:ascii="方正仿宋简体" w:hAnsi="方正仿宋简体" w:eastAsia="方正仿宋简体" w:cs="方正仿宋简体"/>
          <w:color w:val="000000"/>
          <w:sz w:val="32"/>
          <w:szCs w:val="32"/>
        </w:rPr>
        <w:t>（一）计量标准、检测装置和配套设施必须与申请授权项目相适应，满足授权任务的要求；</w:t>
      </w:r>
    </w:p>
    <w:p>
      <w:pPr>
        <w:numPr>
          <w:ilvl w:val="0"/>
          <w:numId w:val="0"/>
        </w:numPr>
        <w:autoSpaceDN w:val="0"/>
        <w:spacing w:line="594" w:lineRule="exact"/>
        <w:ind w:firstLine="640" w:firstLineChars="200"/>
        <w:rPr>
          <w:rFonts w:hint="default" w:ascii="方正仿宋简体" w:hAnsi="方正仿宋简体" w:eastAsia="方正仿宋简体" w:cs="方正仿宋简体"/>
          <w:color w:val="000000"/>
          <w:sz w:val="32"/>
          <w:szCs w:val="32"/>
        </w:rPr>
      </w:pPr>
      <w:r>
        <w:rPr>
          <w:rFonts w:hint="default" w:ascii="方正仿宋简体" w:hAnsi="方正仿宋简体" w:eastAsia="方正仿宋简体" w:cs="方正仿宋简体"/>
          <w:color w:val="000000"/>
          <w:sz w:val="32"/>
          <w:szCs w:val="32"/>
        </w:rPr>
        <w:t>（二）工作环境能适应授权任务的需要，保证有关计量检定、测试工作的正常进行；</w:t>
      </w:r>
    </w:p>
    <w:p>
      <w:pPr>
        <w:numPr>
          <w:ilvl w:val="0"/>
          <w:numId w:val="0"/>
        </w:numPr>
        <w:autoSpaceDN w:val="0"/>
        <w:spacing w:line="594" w:lineRule="exact"/>
        <w:ind w:firstLine="640" w:firstLineChars="200"/>
        <w:rPr>
          <w:rFonts w:hint="default" w:ascii="方正仿宋简体" w:hAnsi="方正仿宋简体" w:eastAsia="方正仿宋简体" w:cs="方正仿宋简体"/>
          <w:color w:val="000000"/>
          <w:sz w:val="32"/>
          <w:szCs w:val="32"/>
        </w:rPr>
      </w:pPr>
      <w:r>
        <w:rPr>
          <w:rFonts w:hint="default" w:ascii="方正仿宋简体" w:hAnsi="方正仿宋简体" w:eastAsia="方正仿宋简体" w:cs="方正仿宋简体"/>
          <w:color w:val="000000"/>
          <w:sz w:val="32"/>
          <w:szCs w:val="32"/>
        </w:rPr>
        <w:t>（三）检定、测试人员必须适应授权任务的需要，掌握有关专业知识和计量检定、测试技术，并经考核合格；</w:t>
      </w:r>
    </w:p>
    <w:p>
      <w:pPr>
        <w:numPr>
          <w:ilvl w:val="0"/>
          <w:numId w:val="0"/>
        </w:numPr>
        <w:autoSpaceDN w:val="0"/>
        <w:spacing w:line="594" w:lineRule="exact"/>
        <w:ind w:firstLine="640" w:firstLineChars="200"/>
        <w:rPr>
          <w:rFonts w:hint="default" w:ascii="方正仿宋简体" w:hAnsi="方正仿宋简体" w:eastAsia="方正仿宋简体" w:cs="方正仿宋简体"/>
          <w:color w:val="000000"/>
          <w:sz w:val="32"/>
          <w:szCs w:val="32"/>
        </w:rPr>
      </w:pPr>
      <w:r>
        <w:rPr>
          <w:rFonts w:hint="default" w:ascii="方正仿宋简体" w:hAnsi="方正仿宋简体" w:eastAsia="方正仿宋简体" w:cs="方正仿宋简体"/>
          <w:color w:val="000000"/>
          <w:sz w:val="32"/>
          <w:szCs w:val="32"/>
        </w:rPr>
        <w:t xml:space="preserve">（四）具有保证计量检定、测试结果公正、准确的有关工作制度和管理制度。 </w:t>
      </w:r>
    </w:p>
    <w:p>
      <w:pPr>
        <w:numPr>
          <w:ilvl w:val="0"/>
          <w:numId w:val="0"/>
        </w:numPr>
        <w:autoSpaceDN w:val="0"/>
        <w:spacing w:line="594" w:lineRule="exact"/>
        <w:ind w:firstLine="643" w:firstLineChars="200"/>
        <w:rPr>
          <w:rFonts w:hint="eastAsia" w:ascii="方正仿宋简体" w:hAnsi="方正仿宋简体" w:eastAsia="方正仿宋简体" w:cs="方正仿宋简体"/>
          <w:color w:val="000000"/>
          <w:sz w:val="32"/>
          <w:szCs w:val="32"/>
        </w:rPr>
      </w:pPr>
      <w:r>
        <w:rPr>
          <w:rFonts w:hint="eastAsia" w:ascii="方正仿宋简体" w:hAnsi="方正仿宋简体" w:eastAsia="方正仿宋简体" w:cs="方正仿宋简体"/>
          <w:b/>
          <w:color w:val="000000"/>
          <w:sz w:val="32"/>
          <w:szCs w:val="32"/>
        </w:rPr>
        <w:t>第六条</w:t>
      </w:r>
      <w:r>
        <w:rPr>
          <w:rFonts w:hint="eastAsia" w:ascii="方正仿宋简体" w:hAnsi="方正仿宋简体" w:eastAsia="方正仿宋简体" w:cs="方正仿宋简体"/>
          <w:color w:val="000000"/>
          <w:sz w:val="32"/>
          <w:szCs w:val="32"/>
        </w:rPr>
        <w:t>申请授权应按以下规定向有关人民政府计量行政部门提出申请。</w:t>
      </w:r>
    </w:p>
    <w:p>
      <w:pPr>
        <w:numPr>
          <w:ilvl w:val="0"/>
          <w:numId w:val="0"/>
        </w:numPr>
        <w:autoSpaceDN w:val="0"/>
        <w:spacing w:line="594" w:lineRule="exact"/>
        <w:ind w:firstLine="640" w:firstLineChars="200"/>
        <w:rPr>
          <w:rFonts w:hint="eastAsia" w:ascii="方正仿宋简体" w:hAnsi="方正仿宋简体" w:eastAsia="方正仿宋简体" w:cs="方正仿宋简体"/>
          <w:color w:val="000000"/>
          <w:sz w:val="32"/>
          <w:szCs w:val="32"/>
        </w:rPr>
      </w:pPr>
      <w:r>
        <w:rPr>
          <w:rFonts w:hint="eastAsia" w:ascii="方正仿宋简体" w:hAnsi="方正仿宋简体" w:eastAsia="方正仿宋简体" w:cs="方正仿宋简体"/>
          <w:color w:val="000000"/>
          <w:sz w:val="32"/>
          <w:szCs w:val="32"/>
        </w:rPr>
        <w:t>（一）申请建立计量基准，向国务院计量行政部门提出申请；</w:t>
      </w:r>
    </w:p>
    <w:p>
      <w:pPr>
        <w:numPr>
          <w:ilvl w:val="0"/>
          <w:numId w:val="0"/>
        </w:numPr>
        <w:autoSpaceDN w:val="0"/>
        <w:spacing w:line="594" w:lineRule="exact"/>
        <w:ind w:firstLine="640" w:firstLineChars="200"/>
        <w:rPr>
          <w:rFonts w:hint="eastAsia" w:ascii="方正仿宋简体" w:hAnsi="方正仿宋简体" w:eastAsia="方正仿宋简体" w:cs="方正仿宋简体"/>
          <w:color w:val="000000"/>
          <w:sz w:val="32"/>
          <w:szCs w:val="32"/>
        </w:rPr>
      </w:pPr>
      <w:r>
        <w:rPr>
          <w:rFonts w:hint="eastAsia" w:ascii="方正仿宋简体" w:hAnsi="方正仿宋简体" w:eastAsia="方正仿宋简体" w:cs="方正仿宋简体"/>
          <w:color w:val="000000"/>
          <w:sz w:val="32"/>
          <w:szCs w:val="32"/>
        </w:rPr>
        <w:t>（二）申请承担计量器具新产品型式评价的授权，向省级以上人民政府计量行政部门提出申请；</w:t>
      </w:r>
    </w:p>
    <w:p>
      <w:pPr>
        <w:numPr>
          <w:ilvl w:val="0"/>
          <w:numId w:val="0"/>
        </w:numPr>
        <w:autoSpaceDN w:val="0"/>
        <w:spacing w:line="594" w:lineRule="exact"/>
        <w:ind w:firstLine="640" w:firstLineChars="200"/>
        <w:rPr>
          <w:rFonts w:hint="eastAsia" w:ascii="方正仿宋简体" w:hAnsi="方正仿宋简体" w:eastAsia="方正仿宋简体" w:cs="方正仿宋简体"/>
          <w:color w:val="000000"/>
          <w:sz w:val="32"/>
          <w:szCs w:val="32"/>
        </w:rPr>
      </w:pPr>
      <w:r>
        <w:rPr>
          <w:rFonts w:hint="eastAsia" w:ascii="方正仿宋简体" w:hAnsi="方正仿宋简体" w:eastAsia="方正仿宋简体" w:cs="方正仿宋简体"/>
          <w:color w:val="000000"/>
          <w:sz w:val="32"/>
          <w:szCs w:val="32"/>
        </w:rPr>
        <w:t>（三）申请对本部门内部使用的强制检定计量器具执行强制检定的授权，向同级人民政府计量行政部门提出申请；</w:t>
      </w:r>
    </w:p>
    <w:p>
      <w:pPr>
        <w:numPr>
          <w:ilvl w:val="0"/>
          <w:numId w:val="0"/>
        </w:numPr>
        <w:autoSpaceDN w:val="0"/>
        <w:spacing w:line="594" w:lineRule="exact"/>
        <w:ind w:firstLine="640" w:firstLineChars="200"/>
        <w:rPr>
          <w:rFonts w:hint="eastAsia" w:ascii="方正仿宋简体" w:hAnsi="方正仿宋简体" w:eastAsia="方正仿宋简体" w:cs="方正仿宋简体"/>
          <w:color w:val="000000"/>
          <w:sz w:val="32"/>
          <w:szCs w:val="32"/>
        </w:rPr>
      </w:pPr>
      <w:r>
        <w:rPr>
          <w:rFonts w:hint="eastAsia" w:ascii="方正仿宋简体" w:hAnsi="方正仿宋简体" w:eastAsia="方正仿宋简体" w:cs="方正仿宋简体"/>
          <w:color w:val="000000"/>
          <w:sz w:val="32"/>
          <w:szCs w:val="32"/>
        </w:rPr>
        <w:t>（四）申请对本单位内部使用的强制检定的工作计量器具执行强制检定的授权，向当地县（市）级人民政府计量行政部门提出申请；</w:t>
      </w:r>
    </w:p>
    <w:p>
      <w:pPr>
        <w:numPr>
          <w:ilvl w:val="0"/>
          <w:numId w:val="0"/>
        </w:numPr>
        <w:autoSpaceDN w:val="0"/>
        <w:spacing w:line="594" w:lineRule="exact"/>
        <w:ind w:firstLine="640" w:firstLineChars="200"/>
        <w:rPr>
          <w:rFonts w:hint="eastAsia" w:ascii="方正仿宋简体" w:hAnsi="方正仿宋简体" w:eastAsia="方正仿宋简体" w:cs="方正仿宋简体"/>
          <w:color w:val="000000"/>
          <w:sz w:val="32"/>
          <w:szCs w:val="32"/>
        </w:rPr>
      </w:pPr>
      <w:r>
        <w:rPr>
          <w:rFonts w:hint="eastAsia" w:ascii="方正仿宋简体" w:hAnsi="方正仿宋简体" w:eastAsia="方正仿宋简体" w:cs="方正仿宋简体"/>
          <w:color w:val="000000"/>
          <w:sz w:val="32"/>
          <w:szCs w:val="32"/>
        </w:rPr>
        <w:t xml:space="preserve">（五）申请作为法定计量检定机构、建立社会公用计量标准、承担计量器具产品质量监督试验和对社会开展强制检定、非强制检定的授权，应根据申请承担授权任务的区域，向相应的人民政府计量行政部门提出申请。 </w:t>
      </w:r>
    </w:p>
    <w:p>
      <w:pPr>
        <w:autoSpaceDN w:val="0"/>
        <w:spacing w:line="594" w:lineRule="exact"/>
        <w:ind w:firstLine="482"/>
        <w:rPr>
          <w:rFonts w:hint="eastAsia" w:ascii="方正仿宋简体" w:hAnsi="方正仿宋简体" w:eastAsia="方正仿宋简体" w:cs="方正仿宋简体"/>
          <w:b/>
          <w:color w:val="000000"/>
          <w:sz w:val="32"/>
          <w:szCs w:val="32"/>
        </w:rPr>
      </w:pPr>
      <w:r>
        <w:rPr>
          <w:rFonts w:hint="eastAsia" w:ascii="方正仿宋简体" w:hAnsi="方正仿宋简体" w:eastAsia="方正仿宋简体" w:cs="方正仿宋简体"/>
          <w:b/>
          <w:color w:val="000000"/>
          <w:sz w:val="32"/>
          <w:szCs w:val="32"/>
        </w:rPr>
        <w:t>第七条</w:t>
      </w:r>
      <w:r>
        <w:rPr>
          <w:rFonts w:hint="eastAsia" w:ascii="方正仿宋简体" w:hAnsi="方正仿宋简体" w:eastAsia="方正仿宋简体" w:cs="方正仿宋简体"/>
          <w:color w:val="000000"/>
          <w:sz w:val="32"/>
          <w:szCs w:val="32"/>
        </w:rPr>
        <w:t>申请授权应递交计量授权申请书，并同时报送有关技术文件和资料。</w:t>
      </w:r>
    </w:p>
    <w:p>
      <w:pPr>
        <w:autoSpaceDN w:val="0"/>
        <w:spacing w:line="594" w:lineRule="exact"/>
        <w:ind w:firstLine="482"/>
        <w:rPr>
          <w:rFonts w:hint="eastAsia" w:ascii="方正仿宋简体" w:hAnsi="方正仿宋简体" w:eastAsia="方正仿宋简体" w:cs="方正仿宋简体"/>
          <w:color w:val="000000"/>
          <w:sz w:val="32"/>
          <w:szCs w:val="32"/>
        </w:rPr>
      </w:pPr>
      <w:r>
        <w:rPr>
          <w:rFonts w:hint="eastAsia" w:ascii="方正仿宋简体" w:hAnsi="方正仿宋简体" w:eastAsia="方正仿宋简体" w:cs="方正仿宋简体"/>
          <w:b/>
          <w:color w:val="000000"/>
          <w:sz w:val="32"/>
          <w:szCs w:val="32"/>
        </w:rPr>
        <w:t>第八条</w:t>
      </w:r>
      <w:r>
        <w:rPr>
          <w:rFonts w:hint="eastAsia" w:ascii="方正仿宋简体" w:hAnsi="方正仿宋简体" w:eastAsia="方正仿宋简体" w:cs="方正仿宋简体"/>
          <w:color w:val="000000"/>
          <w:sz w:val="32"/>
          <w:szCs w:val="32"/>
        </w:rPr>
        <w:t>计量授权申请被接受后，有关人民政府计量行政部门应按照以下规定和本办法第五条规定的条件进行考核。</w:t>
      </w:r>
    </w:p>
    <w:p>
      <w:pPr>
        <w:autoSpaceDN w:val="0"/>
        <w:spacing w:line="594" w:lineRule="exact"/>
        <w:ind w:firstLine="482"/>
        <w:rPr>
          <w:rFonts w:hint="eastAsia" w:ascii="方正仿宋简体" w:hAnsi="方正仿宋简体" w:eastAsia="方正仿宋简体" w:cs="方正仿宋简体"/>
          <w:color w:val="000000"/>
          <w:sz w:val="32"/>
          <w:szCs w:val="32"/>
        </w:rPr>
      </w:pPr>
      <w:r>
        <w:rPr>
          <w:rFonts w:hint="eastAsia" w:ascii="方正仿宋简体" w:hAnsi="方正仿宋简体" w:eastAsia="方正仿宋简体" w:cs="方正仿宋简体"/>
          <w:color w:val="000000"/>
          <w:sz w:val="32"/>
          <w:szCs w:val="32"/>
        </w:rPr>
        <w:t>（一）申请作为法定计量检定机构、建立本地区最高社会公用计量标准的，由受理申请的人民政府计量行政部门报请上一级人民政府计量行政部门主持考核。</w:t>
      </w:r>
    </w:p>
    <w:p>
      <w:pPr>
        <w:autoSpaceDN w:val="0"/>
        <w:spacing w:line="594" w:lineRule="exact"/>
        <w:ind w:firstLine="482"/>
        <w:rPr>
          <w:rFonts w:hint="eastAsia" w:ascii="方正仿宋简体" w:hAnsi="方正仿宋简体" w:eastAsia="方正仿宋简体" w:cs="方正仿宋简体"/>
          <w:b/>
          <w:color w:val="000000"/>
          <w:sz w:val="32"/>
          <w:szCs w:val="32"/>
        </w:rPr>
      </w:pPr>
      <w:r>
        <w:rPr>
          <w:rFonts w:hint="eastAsia" w:ascii="方正仿宋简体" w:hAnsi="方正仿宋简体" w:eastAsia="方正仿宋简体" w:cs="方正仿宋简体"/>
          <w:color w:val="000000"/>
          <w:sz w:val="32"/>
          <w:szCs w:val="32"/>
        </w:rPr>
        <w:t>（二）申请建立计量基准、非本地区最高社会公用计量标准，对内部使用的强制检定计量器具执行强制检定，承担计量器具产品质量监督试验，新产品型式评价和对社会开展强制检定、非强制检定的，由受理申请的人民政府计量行政部门主持考核</w:t>
      </w:r>
      <w:r>
        <w:rPr>
          <w:rFonts w:hint="eastAsia" w:ascii="方正仿宋简体" w:hAnsi="方正仿宋简体" w:eastAsia="方正仿宋简体" w:cs="方正仿宋简体"/>
          <w:b/>
          <w:color w:val="000000"/>
          <w:sz w:val="32"/>
          <w:szCs w:val="32"/>
        </w:rPr>
        <w:t xml:space="preserve">。 </w:t>
      </w:r>
    </w:p>
    <w:p>
      <w:pPr>
        <w:autoSpaceDN w:val="0"/>
        <w:spacing w:line="594" w:lineRule="exact"/>
        <w:ind w:firstLine="482"/>
        <w:rPr>
          <w:rFonts w:hint="eastAsia" w:ascii="方正仿宋简体" w:hAnsi="方正仿宋简体" w:eastAsia="方正仿宋简体" w:cs="方正仿宋简体"/>
          <w:b w:val="0"/>
          <w:bCs/>
          <w:color w:val="000000"/>
          <w:sz w:val="32"/>
          <w:szCs w:val="32"/>
        </w:rPr>
      </w:pPr>
      <w:r>
        <w:rPr>
          <w:rFonts w:hint="eastAsia" w:ascii="方正仿宋简体" w:hAnsi="方正仿宋简体" w:eastAsia="方正仿宋简体" w:cs="方正仿宋简体"/>
          <w:b/>
          <w:color w:val="000000"/>
          <w:sz w:val="32"/>
          <w:szCs w:val="32"/>
        </w:rPr>
        <w:t>第九条</w:t>
      </w:r>
      <w:r>
        <w:rPr>
          <w:rFonts w:hint="eastAsia" w:ascii="方正仿宋简体" w:hAnsi="方正仿宋简体" w:eastAsia="方正仿宋简体" w:cs="方正仿宋简体"/>
          <w:b w:val="0"/>
          <w:bCs/>
          <w:color w:val="000000"/>
          <w:sz w:val="32"/>
          <w:szCs w:val="32"/>
        </w:rPr>
        <w:t xml:space="preserve">申请授权的单位，其有关计量检定、测试人员，应当具有相应职业资格。 </w:t>
      </w:r>
    </w:p>
    <w:p>
      <w:pPr>
        <w:autoSpaceDN w:val="0"/>
        <w:spacing w:line="594" w:lineRule="exact"/>
        <w:ind w:firstLine="482"/>
        <w:rPr>
          <w:rFonts w:hint="eastAsia" w:ascii="方正仿宋简体" w:hAnsi="方正仿宋简体" w:eastAsia="方正仿宋简体" w:cs="方正仿宋简体"/>
          <w:b/>
          <w:color w:val="000000"/>
          <w:sz w:val="32"/>
          <w:szCs w:val="32"/>
        </w:rPr>
      </w:pPr>
      <w:r>
        <w:rPr>
          <w:rFonts w:hint="eastAsia" w:ascii="方正仿宋简体" w:hAnsi="方正仿宋简体" w:eastAsia="方正仿宋简体" w:cs="方正仿宋简体"/>
          <w:b/>
          <w:color w:val="000000"/>
          <w:sz w:val="32"/>
          <w:szCs w:val="32"/>
        </w:rPr>
        <w:t>第十条</w:t>
      </w:r>
      <w:r>
        <w:rPr>
          <w:rFonts w:hint="eastAsia" w:ascii="方正仿宋简体" w:hAnsi="方正仿宋简体" w:eastAsia="方正仿宋简体" w:cs="方正仿宋简体"/>
          <w:color w:val="000000"/>
          <w:sz w:val="32"/>
          <w:szCs w:val="32"/>
        </w:rPr>
        <w:t>对考核合格的单位，由受理申请的人民政府计量行政部门批准，颁发相应的计量授权证书，并公布被授权单位的机构名称和所承担授权的业务范围。</w:t>
      </w:r>
    </w:p>
    <w:p>
      <w:pPr>
        <w:autoSpaceDN w:val="0"/>
        <w:spacing w:line="594" w:lineRule="exact"/>
        <w:ind w:firstLine="482"/>
        <w:rPr>
          <w:rFonts w:hint="eastAsia" w:ascii="方正仿宋简体" w:hAnsi="方正仿宋简体" w:eastAsia="方正仿宋简体" w:cs="方正仿宋简体"/>
          <w:color w:val="000000"/>
          <w:sz w:val="32"/>
          <w:szCs w:val="32"/>
        </w:rPr>
      </w:pPr>
      <w:r>
        <w:rPr>
          <w:rFonts w:hint="eastAsia" w:ascii="方正仿宋简体" w:hAnsi="方正仿宋简体" w:eastAsia="方正仿宋简体" w:cs="方正仿宋简体"/>
          <w:b/>
          <w:color w:val="000000"/>
          <w:sz w:val="32"/>
          <w:szCs w:val="32"/>
        </w:rPr>
        <w:t>第十一条</w:t>
      </w:r>
      <w:r>
        <w:rPr>
          <w:rFonts w:hint="eastAsia" w:ascii="方正仿宋简体" w:hAnsi="方正仿宋简体" w:eastAsia="方正仿宋简体" w:cs="方正仿宋简体"/>
          <w:color w:val="000000"/>
          <w:sz w:val="32"/>
          <w:szCs w:val="32"/>
        </w:rPr>
        <w:t>被授权单位必须按照授权范围开展工作，需新增计量授权项目，应按照本办法的有关规定，申请新增项目的授权。</w:t>
      </w:r>
    </w:p>
    <w:p>
      <w:pPr>
        <w:autoSpaceDN w:val="0"/>
        <w:spacing w:line="594" w:lineRule="exact"/>
        <w:ind w:firstLine="482"/>
        <w:rPr>
          <w:rFonts w:hint="eastAsia" w:ascii="方正仿宋简体" w:hAnsi="方正仿宋简体" w:eastAsia="方正仿宋简体" w:cs="方正仿宋简体"/>
          <w:color w:val="000000"/>
          <w:sz w:val="32"/>
          <w:szCs w:val="32"/>
        </w:rPr>
      </w:pPr>
      <w:r>
        <w:rPr>
          <w:rFonts w:hint="eastAsia" w:ascii="方正仿宋简体" w:hAnsi="方正仿宋简体" w:eastAsia="方正仿宋简体" w:cs="方正仿宋简体"/>
          <w:color w:val="000000"/>
          <w:sz w:val="32"/>
          <w:szCs w:val="32"/>
        </w:rPr>
        <w:t xml:space="preserve">违反上款规定的，责令其改正，停止开展超出授权范围的相关检定、测试活动。 </w:t>
      </w:r>
    </w:p>
    <w:p>
      <w:pPr>
        <w:autoSpaceDN w:val="0"/>
        <w:spacing w:line="594" w:lineRule="exact"/>
        <w:ind w:firstLine="482"/>
      </w:pPr>
      <w:r>
        <w:rPr>
          <w:rFonts w:hint="eastAsia" w:ascii="方正仿宋简体" w:hAnsi="方正仿宋简体" w:eastAsia="方正仿宋简体" w:cs="方正仿宋简体"/>
          <w:b/>
          <w:color w:val="000000"/>
          <w:sz w:val="32"/>
          <w:szCs w:val="32"/>
        </w:rPr>
        <w:t>第十二条</w:t>
      </w:r>
      <w:r>
        <w:rPr>
          <w:rFonts w:hint="eastAsia" w:ascii="方正仿宋简体" w:hAnsi="方正仿宋简体" w:eastAsia="方正仿宋简体" w:cs="方正仿宋简体"/>
          <w:color w:val="000000"/>
          <w:sz w:val="32"/>
          <w:szCs w:val="32"/>
        </w:rPr>
        <w:t>计量标准技术考核，标准物质定级鉴定和仲裁检定的授权，由有关人民政府计量行政部门根据相应管理办法的规定，采取指定的形式办理。</w:t>
      </w:r>
      <w:r>
        <w:t xml:space="preserve">          </w:t>
      </w:r>
    </w:p>
    <w:p/>
    <w:sectPr>
      <w:pgSz w:w="11900" w:h="16840"/>
      <w:pgMar w:top="1984" w:right="1474" w:bottom="1644" w:left="1474" w:header="850" w:footer="1191" w:gutter="0"/>
      <w:cols w:space="0" w:num="1"/>
      <w:titlePg/>
      <w:rtlGutter w:val="0"/>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简体">
    <w:panose1 w:val="02000000000000000000"/>
    <w:charset w:val="86"/>
    <w:family w:val="script"/>
    <w:pitch w:val="default"/>
    <w:sig w:usb0="A00002BF" w:usb1="184F6CFA" w:usb2="00000012" w:usb3="00000000" w:csb0="00040001" w:csb1="00000000"/>
  </w:font>
  <w:font w:name="方正黑体简体">
    <w:panose1 w:val="02000000000000000000"/>
    <w:charset w:val="86"/>
    <w:family w:val="auto"/>
    <w:pitch w:val="default"/>
    <w:sig w:usb0="A00002BF" w:usb1="184F6CFA" w:usb2="00000012" w:usb3="00000000" w:csb0="00040001"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08279E3"/>
    <w:rsid w:val="108279E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heme="minorHAnsi" w:hAnsiTheme="minorHAnsi" w:eastAsiaTheme="minorEastAsia" w:cstheme="minorBidi"/>
      <w:sz w:val="24"/>
      <w:szCs w:val="24"/>
      <w:lang w:val="en-SG"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Office_11.8.2.10393_F1E327BC-269C-435d-A152-05C5408002CA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2022-06-15T04:28:00Z</dcterms:created>
  <dc:creator>刘冉</dc:creator>
  <cp:lastModifiedBy>刘冉</cp:lastModifiedBy>
  <dcterms:modified xsi:type="dcterms:W3CDTF">2022-06-15T04:29:03Z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2052-11.8.2.10393</vt:lpwstr>
  </property>
</Properties>
</file>