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imes New Roman" w:hAnsi="Times New Roman" w:eastAsia="仿宋_GB2312"/>
          <w:sz w:val="32"/>
          <w:szCs w:val="32"/>
        </w:rPr>
      </w:pPr>
      <w:bookmarkStart w:id="0" w:name="_GoBack"/>
      <w:bookmarkEnd w:id="0"/>
      <w:r>
        <w:rPr>
          <w:rFonts w:hint="eastAsia" w:ascii="方正小标宋简体" w:hAnsi="方正小标宋简体" w:eastAsia="方正小标宋简体" w:cs="方正小标宋简体"/>
          <w:sz w:val="44"/>
          <w:szCs w:val="44"/>
        </w:rPr>
        <w:t>经营者集中反垄断审查办事指南</w:t>
      </w:r>
    </w:p>
    <w:p>
      <w:pPr>
        <w:tabs>
          <w:tab w:val="left" w:pos="1013"/>
        </w:tabs>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tab/>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黑体" w:hAnsi="黑体" w:eastAsia="黑体" w:cs="黑体"/>
          <w:b w:val="0"/>
          <w:bCs w:val="0"/>
          <w:sz w:val="32"/>
          <w:szCs w:val="32"/>
        </w:rPr>
        <w:t>行政事项名称：</w:t>
      </w:r>
      <w:r>
        <w:rPr>
          <w:rFonts w:hint="eastAsia" w:ascii="Times New Roman" w:hAnsi="Times New Roman" w:eastAsia="仿宋_GB2312"/>
          <w:sz w:val="32"/>
          <w:szCs w:val="32"/>
        </w:rPr>
        <w:t>经营者集中反垄断审查</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黑体" w:hAnsi="黑体" w:eastAsia="黑体" w:cs="黑体"/>
          <w:b w:val="0"/>
          <w:bCs w:val="0"/>
          <w:sz w:val="32"/>
          <w:szCs w:val="32"/>
        </w:rPr>
        <w:t>行政事项类别：</w:t>
      </w:r>
      <w:r>
        <w:rPr>
          <w:rFonts w:hint="eastAsia" w:ascii="Times New Roman" w:hAnsi="Times New Roman" w:eastAsia="仿宋_GB2312"/>
          <w:sz w:val="32"/>
          <w:szCs w:val="32"/>
        </w:rPr>
        <w:t>行政许可</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黑体" w:hAnsi="黑体" w:eastAsia="黑体" w:cs="黑体"/>
          <w:b w:val="0"/>
          <w:bCs w:val="0"/>
          <w:sz w:val="32"/>
          <w:szCs w:val="32"/>
        </w:rPr>
        <w:t>法律依据：</w:t>
      </w:r>
      <w:r>
        <w:rPr>
          <w:rFonts w:hint="eastAsia" w:ascii="Times New Roman" w:hAnsi="Times New Roman" w:eastAsia="仿宋_GB2312"/>
          <w:sz w:val="32"/>
          <w:szCs w:val="32"/>
        </w:rPr>
        <w:t>《中华人民共和国反垄断法》</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 xml:space="preserve">　　   </w:t>
      </w:r>
      <w:r>
        <w:rPr>
          <w:rFonts w:hint="eastAsia" w:ascii="Times New Roman" w:hAnsi="Times New Roman" w:eastAsia="仿宋_GB2312"/>
          <w:sz w:val="32"/>
          <w:szCs w:val="32"/>
          <w:lang w:val="en-US" w:eastAsia="zh-CN"/>
        </w:rPr>
        <w:t xml:space="preserve">    </w:t>
      </w:r>
      <w:r>
        <w:rPr>
          <w:rFonts w:hint="eastAsia" w:ascii="Times New Roman" w:hAnsi="Times New Roman" w:eastAsia="仿宋_GB2312"/>
          <w:sz w:val="32"/>
          <w:szCs w:val="32"/>
        </w:rPr>
        <w:t>《国务院关于经营者集中申报标准的规定》</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　　  </w:t>
      </w:r>
      <w:r>
        <w:rPr>
          <w:rFonts w:hint="eastAsia" w:ascii="Times New Roman" w:hAnsi="Times New Roman" w:eastAsia="仿宋_GB2312"/>
          <w:sz w:val="32"/>
          <w:szCs w:val="32"/>
          <w:lang w:val="en-US" w:eastAsia="zh-CN"/>
        </w:rPr>
        <w:t xml:space="preserve">     </w:t>
      </w:r>
      <w:r>
        <w:rPr>
          <w:rFonts w:hint="eastAsia" w:ascii="Times New Roman" w:hAnsi="Times New Roman" w:eastAsia="仿宋_GB2312"/>
          <w:sz w:val="32"/>
          <w:szCs w:val="32"/>
        </w:rPr>
        <w:t>《经营者集中审查规定》</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　　  </w:t>
      </w:r>
      <w:r>
        <w:rPr>
          <w:rFonts w:hint="eastAsia" w:ascii="Times New Roman" w:hAnsi="Times New Roman" w:eastAsia="仿宋_GB2312"/>
          <w:sz w:val="32"/>
          <w:szCs w:val="32"/>
          <w:lang w:val="en-US" w:eastAsia="zh-CN"/>
        </w:rPr>
        <w:t xml:space="preserve">     </w:t>
      </w:r>
      <w:r>
        <w:rPr>
          <w:rFonts w:hint="eastAsia" w:ascii="Times New Roman" w:hAnsi="Times New Roman" w:eastAsia="仿宋_GB2312"/>
          <w:sz w:val="32"/>
          <w:szCs w:val="32"/>
        </w:rPr>
        <w:t>《金融业经营者集中申报营业额计算办法》</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申报文件、资料：</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一、申报书；</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二、集中对相关市场竞争状况影响的说明；</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三、集中协议；</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四、参与集中的经营者经会计师事务所审计的上一会计年度财务会计报告；</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五、国家市场监督管理总局</w:t>
      </w:r>
      <w:r>
        <w:rPr>
          <w:rFonts w:hint="eastAsia" w:ascii="Times New Roman" w:hAnsi="Times New Roman" w:eastAsia="仿宋_GB2312"/>
          <w:sz w:val="32"/>
          <w:szCs w:val="32"/>
          <w:lang w:eastAsia="zh-CN"/>
        </w:rPr>
        <w:t>和</w:t>
      </w:r>
      <w:r>
        <w:rPr>
          <w:rFonts w:hint="eastAsia" w:ascii="Times New Roman" w:hAnsi="Times New Roman" w:eastAsia="仿宋_GB2312" w:cs="Times New Roman"/>
          <w:sz w:val="32"/>
          <w:szCs w:val="32"/>
          <w:lang w:eastAsia="zh-CN"/>
        </w:rPr>
        <w:t>受委托的省级市场监管部门</w:t>
      </w:r>
      <w:r>
        <w:rPr>
          <w:rFonts w:hint="eastAsia" w:ascii="Times New Roman" w:hAnsi="Times New Roman" w:eastAsia="仿宋_GB2312"/>
          <w:sz w:val="32"/>
          <w:szCs w:val="32"/>
        </w:rPr>
        <w:t>（</w:t>
      </w:r>
      <w:r>
        <w:rPr>
          <w:rFonts w:hint="eastAsia" w:ascii="Times New Roman" w:hAnsi="Times New Roman" w:eastAsia="仿宋_GB2312"/>
          <w:sz w:val="32"/>
          <w:szCs w:val="32"/>
          <w:lang w:eastAsia="zh-CN"/>
        </w:rPr>
        <w:t>以下统称反垄断执法机构</w:t>
      </w:r>
      <w:r>
        <w:rPr>
          <w:rFonts w:hint="eastAsia" w:ascii="Times New Roman" w:hAnsi="Times New Roman" w:eastAsia="仿宋_GB2312"/>
          <w:sz w:val="32"/>
          <w:szCs w:val="32"/>
        </w:rPr>
        <w:t>）要求提交的其他文件、资料。</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申报人应同时提交申报文件、资料的公开版本和保密版本各一套。</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许可程序：</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cs="Times New Roman"/>
          <w:sz w:val="32"/>
          <w:szCs w:val="32"/>
        </w:rPr>
        <w:t>一、申报人依照有关规定或通知将申报文件、资料</w:t>
      </w:r>
      <w:r>
        <w:rPr>
          <w:rFonts w:hint="eastAsia" w:ascii="Times New Roman" w:hAnsi="Times New Roman" w:eastAsia="仿宋_GB2312" w:cs="Times New Roman"/>
          <w:sz w:val="32"/>
          <w:szCs w:val="32"/>
          <w:lang w:eastAsia="zh-CN"/>
        </w:rPr>
        <w:t>通过经营者集中反垄断业务系统申报。</w:t>
      </w:r>
      <w:r>
        <w:rPr>
          <w:rFonts w:hint="eastAsia" w:ascii="Times New Roman" w:hAnsi="Times New Roman" w:eastAsia="仿宋_GB2312"/>
          <w:sz w:val="32"/>
          <w:szCs w:val="32"/>
          <w:lang w:eastAsia="zh-CN"/>
        </w:rPr>
        <w:t>反垄断执法机构</w:t>
      </w:r>
      <w:r>
        <w:rPr>
          <w:rFonts w:hint="eastAsia" w:ascii="Times New Roman" w:hAnsi="Times New Roman" w:eastAsia="仿宋_GB2312" w:cs="Times New Roman"/>
          <w:sz w:val="32"/>
          <w:szCs w:val="32"/>
        </w:rPr>
        <w:t>核查申报文件、资料是否完备，如不完备，由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cs="Times New Roman"/>
          <w:sz w:val="32"/>
          <w:szCs w:val="32"/>
        </w:rPr>
        <w:t>通知申报人补充材料。</w:t>
      </w:r>
      <w:r>
        <w:rPr>
          <w:rFonts w:hint="eastAsia" w:ascii="Times New Roman" w:hAnsi="Times New Roman" w:eastAsia="仿宋_GB2312"/>
          <w:sz w:val="32"/>
          <w:szCs w:val="32"/>
        </w:rPr>
        <w:t>　　</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二、申报人提交的文件、资料不完备的，由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通知申报人在规定的期限内补交文件、资料。申报人逾期未补交文件、资料的，视为未申报。</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三、对符合法律法规规定，申报文件、资料完备的申报，由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书面通知申报人</w:t>
      </w:r>
      <w:r>
        <w:rPr>
          <w:rFonts w:hint="eastAsia" w:ascii="Times New Roman" w:hAnsi="Times New Roman" w:eastAsia="仿宋_GB2312"/>
          <w:sz w:val="32"/>
          <w:szCs w:val="32"/>
          <w:lang w:eastAsia="zh-CN"/>
        </w:rPr>
        <w:t>受理</w:t>
      </w:r>
      <w:r>
        <w:rPr>
          <w:rFonts w:hint="eastAsia" w:ascii="Times New Roman" w:hAnsi="Times New Roman"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四、自</w:t>
      </w:r>
      <w:r>
        <w:rPr>
          <w:rFonts w:hint="eastAsia" w:ascii="Times New Roman" w:hAnsi="Times New Roman" w:eastAsia="仿宋_GB2312"/>
          <w:sz w:val="32"/>
          <w:szCs w:val="32"/>
          <w:lang w:eastAsia="zh-CN"/>
        </w:rPr>
        <w:t>受理</w:t>
      </w:r>
      <w:r>
        <w:rPr>
          <w:rFonts w:hint="eastAsia" w:ascii="Times New Roman" w:hAnsi="Times New Roman" w:eastAsia="仿宋_GB2312"/>
          <w:sz w:val="32"/>
          <w:szCs w:val="32"/>
        </w:rPr>
        <w:t>之日起三十日内完成初步审查，</w:t>
      </w:r>
      <w:r>
        <w:rPr>
          <w:rFonts w:hint="eastAsia" w:ascii="Times New Roman" w:hAnsi="Times New Roman" w:eastAsia="仿宋_GB2312"/>
          <w:sz w:val="32"/>
          <w:szCs w:val="32"/>
          <w:lang w:eastAsia="zh-CN"/>
        </w:rPr>
        <w:t>作</w:t>
      </w:r>
      <w:r>
        <w:rPr>
          <w:rFonts w:hint="eastAsia" w:ascii="Times New Roman" w:hAnsi="Times New Roman" w:eastAsia="仿宋_GB2312"/>
          <w:sz w:val="32"/>
          <w:szCs w:val="32"/>
        </w:rPr>
        <w:t>出是否实施进一步审查的决定，由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书面通知申报人。</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五、对需要实施进一步审查的，自决定之日起九十日内完成审查，</w:t>
      </w:r>
      <w:r>
        <w:rPr>
          <w:rFonts w:hint="eastAsia" w:ascii="Times New Roman" w:hAnsi="Times New Roman" w:eastAsia="仿宋_GB2312"/>
          <w:sz w:val="32"/>
          <w:szCs w:val="32"/>
          <w:lang w:eastAsia="zh-CN"/>
        </w:rPr>
        <w:t>作</w:t>
      </w:r>
      <w:r>
        <w:rPr>
          <w:rFonts w:hint="eastAsia" w:ascii="Times New Roman" w:hAnsi="Times New Roman" w:eastAsia="仿宋_GB2312"/>
          <w:sz w:val="32"/>
          <w:szCs w:val="32"/>
        </w:rPr>
        <w:t>出是否禁止经营者集中的决定，由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书面通知申报人。</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六、有下列情形之一的，由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书面通知申报人延长进一步审查的期限，时间最长不超过六十日：</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（一）经营者同意延长审查期限的；</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（二）经营者提交的文件、资料不准确，需要进一步核实的；</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（三）经营者申报后有关情况发生重大变化的。</w:t>
      </w:r>
    </w:p>
    <w:p>
      <w:pPr>
        <w:pStyle w:val="2"/>
        <w:spacing w:after="0" w:afterLines="0" w:line="594" w:lineRule="exact"/>
        <w:ind w:firstLine="640" w:firstLineChars="200"/>
        <w:jc w:val="both"/>
        <w:rPr>
          <w:rFonts w:hint="eastAsia" w:ascii="Times New Roman" w:hAnsi="Times New Roman" w:eastAsia="仿宋_GB2312"/>
          <w:kern w:val="2"/>
          <w:sz w:val="32"/>
          <w:szCs w:val="32"/>
        </w:rPr>
      </w:pPr>
      <w:r>
        <w:rPr>
          <w:rFonts w:hint="eastAsia" w:ascii="Times New Roman" w:hAnsi="Times New Roman" w:eastAsia="仿宋_GB2312"/>
          <w:kern w:val="2"/>
          <w:sz w:val="32"/>
          <w:szCs w:val="32"/>
          <w:lang w:eastAsia="zh-CN"/>
        </w:rPr>
        <w:t>七、</w:t>
      </w:r>
      <w:r>
        <w:rPr>
          <w:rFonts w:hint="eastAsia" w:ascii="Times New Roman" w:hAnsi="Times New Roman" w:eastAsia="仿宋_GB2312"/>
          <w:kern w:val="2"/>
          <w:sz w:val="32"/>
          <w:szCs w:val="32"/>
        </w:rPr>
        <w:t>有下列情形之一的，国务院反垄断执法机构可以决定中止计算经营者集中的审查期限，并书面通知经营者：</w:t>
      </w:r>
    </w:p>
    <w:p>
      <w:pPr>
        <w:pStyle w:val="2"/>
        <w:spacing w:after="0" w:afterLines="0" w:line="594" w:lineRule="exact"/>
        <w:jc w:val="both"/>
        <w:rPr>
          <w:rFonts w:hint="eastAsia" w:ascii="Times New Roman" w:hAnsi="Times New Roman" w:eastAsia="仿宋_GB2312"/>
          <w:kern w:val="2"/>
          <w:sz w:val="32"/>
          <w:szCs w:val="32"/>
        </w:rPr>
      </w:pPr>
      <w:r>
        <w:rPr>
          <w:rFonts w:hint="eastAsia" w:ascii="Times New Roman" w:hAnsi="Times New Roman" w:eastAsia="仿宋_GB2312"/>
          <w:kern w:val="2"/>
          <w:sz w:val="32"/>
          <w:szCs w:val="32"/>
        </w:rPr>
        <w:t>　　（一）经营者未按照规定提交文件、资料，导致审查工作无法进行；</w:t>
      </w:r>
    </w:p>
    <w:p>
      <w:pPr>
        <w:pStyle w:val="2"/>
        <w:spacing w:after="0" w:afterLines="0" w:line="594" w:lineRule="exact"/>
        <w:jc w:val="both"/>
        <w:rPr>
          <w:rFonts w:hint="eastAsia" w:ascii="Times New Roman" w:hAnsi="Times New Roman" w:eastAsia="仿宋_GB2312"/>
          <w:kern w:val="2"/>
          <w:sz w:val="32"/>
          <w:szCs w:val="32"/>
        </w:rPr>
      </w:pPr>
      <w:r>
        <w:rPr>
          <w:rFonts w:hint="eastAsia" w:ascii="Times New Roman" w:hAnsi="Times New Roman" w:eastAsia="仿宋_GB2312"/>
          <w:kern w:val="2"/>
          <w:sz w:val="32"/>
          <w:szCs w:val="32"/>
        </w:rPr>
        <w:t>　　（二）出现对经营者集中审查具有重大影响的新情况、新事实，不经核实将导致审查工作无法进行；</w:t>
      </w:r>
    </w:p>
    <w:p>
      <w:pPr>
        <w:pStyle w:val="2"/>
        <w:spacing w:after="0" w:afterLines="0" w:line="594" w:lineRule="exact"/>
        <w:jc w:val="both"/>
        <w:rPr>
          <w:rFonts w:hint="eastAsia" w:ascii="Times New Roman" w:hAnsi="Times New Roman" w:eastAsia="仿宋_GB2312"/>
          <w:kern w:val="2"/>
          <w:sz w:val="32"/>
          <w:szCs w:val="32"/>
        </w:rPr>
      </w:pPr>
      <w:r>
        <w:rPr>
          <w:rFonts w:hint="eastAsia" w:ascii="Times New Roman" w:hAnsi="Times New Roman" w:eastAsia="仿宋_GB2312"/>
          <w:kern w:val="2"/>
          <w:sz w:val="32"/>
          <w:szCs w:val="32"/>
        </w:rPr>
        <w:t>　　（三）需要对经营者集中附加的限制性条件进一步评估，且经营者提出中止请求。</w:t>
      </w:r>
    </w:p>
    <w:p>
      <w:pPr>
        <w:pStyle w:val="2"/>
        <w:spacing w:after="0" w:afterLines="0" w:line="594" w:lineRule="exact"/>
        <w:jc w:val="both"/>
        <w:rPr>
          <w:rFonts w:hint="eastAsia" w:ascii="Times New Roman" w:hAnsi="Times New Roman" w:eastAsia="仿宋_GB2312"/>
          <w:kern w:val="2"/>
          <w:sz w:val="32"/>
          <w:szCs w:val="32"/>
        </w:rPr>
      </w:pPr>
      <w:r>
        <w:rPr>
          <w:rFonts w:hint="eastAsia" w:ascii="Times New Roman" w:hAnsi="Times New Roman" w:eastAsia="仿宋_GB2312"/>
          <w:kern w:val="2"/>
          <w:sz w:val="32"/>
          <w:szCs w:val="32"/>
        </w:rPr>
        <w:t>　　自中止计算审查期限的情形消除之日起，审查期限继续计算，国务院反垄断执法机构应当书面通知经营者。</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lang w:eastAsia="zh-CN"/>
        </w:rPr>
        <w:t>八</w:t>
      </w:r>
      <w:r>
        <w:rPr>
          <w:rFonts w:hint="eastAsia" w:ascii="Times New Roman" w:hAnsi="Times New Roman" w:eastAsia="仿宋_GB2312"/>
          <w:sz w:val="32"/>
          <w:szCs w:val="32"/>
        </w:rPr>
        <w:t>、经营者集中反垄断审查工作结束，由</w:t>
      </w:r>
      <w:r>
        <w:rPr>
          <w:rFonts w:hint="eastAsia" w:ascii="Times New Roman" w:hAnsi="Times New Roman" w:eastAsia="仿宋_GB2312"/>
          <w:sz w:val="32"/>
          <w:szCs w:val="32"/>
          <w:lang w:eastAsia="zh-CN"/>
        </w:rPr>
        <w:t>反垄断执法机构</w:t>
      </w:r>
      <w:r>
        <w:rPr>
          <w:rFonts w:hint="eastAsia" w:ascii="Times New Roman" w:hAnsi="Times New Roman" w:eastAsia="仿宋_GB2312"/>
          <w:sz w:val="32"/>
          <w:szCs w:val="32"/>
        </w:rPr>
        <w:t>将审查决定书面通知申报人。禁止经营者集中的决定或者对经营者集中附加限制性条件的决定向社会公布。</w:t>
      </w:r>
    </w:p>
    <w:p>
      <w:pPr>
        <w:keepNext w:val="0"/>
        <w:keepLines w:val="0"/>
        <w:pageBreakBefore w:val="0"/>
        <w:widowControl w:val="0"/>
        <w:kinsoku/>
        <w:wordWrap/>
        <w:overflowPunct/>
        <w:topLinePunct w:val="0"/>
        <w:autoSpaceDE/>
        <w:autoSpaceDN/>
        <w:bidi w:val="0"/>
        <w:adjustRightInd/>
        <w:snapToGrid/>
        <w:spacing w:afterLines="0" w:line="594" w:lineRule="exact"/>
        <w:ind w:firstLine="640" w:firstLineChars="200"/>
        <w:textAlignment w:val="auto"/>
        <w:rPr>
          <w:rFonts w:hint="default" w:ascii="Times New Roman" w:hAnsi="Times New Roman" w:eastAsia="仿宋_GB2312"/>
          <w:sz w:val="32"/>
          <w:szCs w:val="32"/>
          <w:lang w:val="en-US" w:eastAsia="zh-CN"/>
        </w:rPr>
      </w:pPr>
      <w:r>
        <w:rPr>
          <w:rFonts w:hint="eastAsia" w:ascii="黑体" w:hAnsi="黑体" w:eastAsia="黑体" w:cs="黑体"/>
          <w:b w:val="0"/>
          <w:bCs w:val="0"/>
          <w:sz w:val="32"/>
          <w:szCs w:val="32"/>
        </w:rPr>
        <w:t>主办单位及办公电话：</w:t>
      </w:r>
      <w:r>
        <w:rPr>
          <w:rFonts w:hint="eastAsia" w:ascii="Times New Roman" w:hAnsi="Times New Roman" w:eastAsia="仿宋_GB2312"/>
          <w:sz w:val="32"/>
          <w:szCs w:val="32"/>
        </w:rPr>
        <w:t>反垄断执法二司 </w:t>
      </w:r>
      <w:r>
        <w:rPr>
          <w:rFonts w:hint="eastAsia" w:ascii="Times New Roman" w:hAnsi="Times New Roman" w:eastAsia="仿宋_GB2312"/>
          <w:sz w:val="32"/>
          <w:szCs w:val="32"/>
          <w:lang w:val="en-US" w:eastAsia="zh-CN"/>
        </w:rPr>
        <w:t xml:space="preserve"> </w:t>
      </w:r>
      <w:r>
        <w:rPr>
          <w:rFonts w:hint="eastAsia" w:ascii="Times New Roman" w:hAnsi="Times New Roman" w:eastAsia="仿宋_GB2312"/>
          <w:sz w:val="32"/>
          <w:szCs w:val="32"/>
        </w:rPr>
        <w:t>8</w:t>
      </w:r>
      <w:r>
        <w:rPr>
          <w:rFonts w:hint="eastAsia" w:ascii="Times New Roman" w:hAnsi="Times New Roman" w:eastAsia="仿宋_GB2312"/>
          <w:sz w:val="32"/>
          <w:szCs w:val="32"/>
          <w:lang w:val="en-US" w:eastAsia="zh-CN"/>
        </w:rPr>
        <w:t>2262390</w:t>
      </w:r>
    </w:p>
    <w:p>
      <w:pPr>
        <w:keepNext w:val="0"/>
        <w:keepLines w:val="0"/>
        <w:pageBreakBefore w:val="0"/>
        <w:widowControl w:val="0"/>
        <w:kinsoku/>
        <w:wordWrap/>
        <w:overflowPunct/>
        <w:topLinePunct w:val="0"/>
        <w:autoSpaceDE/>
        <w:autoSpaceDN/>
        <w:bidi w:val="0"/>
        <w:adjustRightInd/>
        <w:snapToGrid/>
        <w:spacing w:afterLines="0" w:line="594" w:lineRule="exact"/>
        <w:textAlignment w:val="auto"/>
        <w:rPr>
          <w:rFonts w:hint="eastAsia" w:ascii="Times New Roman" w:hAnsi="Times New Roman" w:eastAsia="仿宋_GB2312"/>
          <w:sz w:val="32"/>
          <w:szCs w:val="32"/>
          <w:lang w:eastAsia="zh-CN"/>
        </w:rPr>
      </w:pPr>
      <w:r>
        <w:rPr>
          <w:rFonts w:hint="eastAsia" w:ascii="Times New Roman" w:hAnsi="Times New Roman" w:eastAsia="仿宋_GB2312"/>
          <w:sz w:val="32"/>
          <w:szCs w:val="32"/>
        </w:rPr>
        <w:t>系统咨询电话</w:t>
      </w:r>
      <w:r>
        <w:rPr>
          <w:rFonts w:hint="eastAsia" w:ascii="Times New Roman" w:hAnsi="Times New Roman" w:eastAsia="仿宋_GB2312"/>
          <w:sz w:val="32"/>
          <w:szCs w:val="32"/>
          <w:lang w:val="en-US" w:eastAsia="zh-CN"/>
        </w:rPr>
        <w:t xml:space="preserve">   </w:t>
      </w:r>
      <w:r>
        <w:rPr>
          <w:rFonts w:hint="eastAsia" w:ascii="Times New Roman" w:hAnsi="Times New Roman" w:eastAsia="仿宋_GB2312"/>
          <w:sz w:val="32"/>
          <w:szCs w:val="32"/>
        </w:rPr>
        <w:t>88650899</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lang w:val="en-US" w:eastAsia="zh-CN"/>
        </w:rPr>
        <w:t> 158 1062 8565。</w:t>
      </w:r>
    </w:p>
    <w:p>
      <w:pPr>
        <w:keepNext w:val="0"/>
        <w:keepLines w:val="0"/>
        <w:pageBreakBefore w:val="0"/>
        <w:widowControl w:val="0"/>
        <w:kinsoku/>
        <w:wordWrap/>
        <w:overflowPunct/>
        <w:topLinePunct w:val="0"/>
        <w:autoSpaceDE/>
        <w:autoSpaceDN/>
        <w:bidi w:val="0"/>
        <w:adjustRightInd/>
        <w:snapToGrid/>
        <w:spacing w:line="594" w:lineRule="exact"/>
        <w:ind w:firstLine="3840" w:firstLineChars="1200"/>
        <w:textAlignment w:val="auto"/>
        <w:rPr>
          <w:rFonts w:hint="eastAsia" w:ascii="Times New Roman" w:hAnsi="Times New Roman" w:eastAsia="仿宋_GB2312"/>
          <w:sz w:val="32"/>
          <w:szCs w:val="32"/>
          <w:lang w:eastAsia="zh-CN"/>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trackRevisions w:val="1"/>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mM2Q3YjQyOGQ1ZjlmZjFlZmNkNTI1MTZhYTRjMmUifQ=="/>
  </w:docVars>
  <w:rsids>
    <w:rsidRoot w:val="9FFB3320"/>
    <w:rsid w:val="25781411"/>
    <w:rsid w:val="3F377610"/>
    <w:rsid w:val="44F80280"/>
    <w:rsid w:val="75F51551"/>
    <w:rsid w:val="7A402030"/>
    <w:rsid w:val="9FFB3320"/>
    <w:rsid w:val="D7FB5D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3"/>
    <w:next w:val="1"/>
    <w:qFormat/>
    <w:uiPriority w:val="9"/>
    <w:pPr>
      <w:spacing w:after="156" w:afterLines="50" w:line="640" w:lineRule="exact"/>
      <w:outlineLvl w:val="0"/>
    </w:pPr>
    <w:rPr>
      <w:rFonts w:ascii="方正小标宋简体" w:eastAsia="方正小标宋简体"/>
      <w:sz w:val="44"/>
      <w:szCs w:val="36"/>
    </w:rPr>
  </w:style>
  <w:style w:type="character" w:default="1" w:styleId="7">
    <w:name w:val="Default Paragraph Font"/>
    <w:semiHidden/>
    <w:qFormat/>
    <w:uiPriority w:val="0"/>
  </w:style>
  <w:style w:type="table" w:default="1" w:styleId="6">
    <w:name w:val="Normal Table"/>
    <w:semiHidden/>
    <w:qFormat/>
    <w:uiPriority w:val="0"/>
    <w:tblPr>
      <w:tblStyle w:val="6"/>
      <w:tblCellMar>
        <w:top w:w="0" w:type="dxa"/>
        <w:left w:w="108" w:type="dxa"/>
        <w:bottom w:w="0" w:type="dxa"/>
        <w:right w:w="108" w:type="dxa"/>
      </w:tblCellMar>
    </w:tblPr>
  </w:style>
  <w:style w:type="paragraph" w:customStyle="1" w:styleId="3">
    <w:name w:val="名称2"/>
    <w:basedOn w:val="4"/>
    <w:qFormat/>
    <w:uiPriority w:val="0"/>
    <w:pPr>
      <w:spacing w:after="312" w:afterLines="100"/>
    </w:pPr>
    <w:rPr>
      <w:b w:val="0"/>
      <w:sz w:val="20"/>
    </w:rPr>
  </w:style>
  <w:style w:type="paragraph" w:customStyle="1" w:styleId="4">
    <w:name w:val="名称"/>
    <w:basedOn w:val="1"/>
    <w:qFormat/>
    <w:uiPriority w:val="0"/>
    <w:pPr>
      <w:spacing w:line="240" w:lineRule="auto"/>
      <w:jc w:val="center"/>
    </w:pPr>
    <w:rPr>
      <w:b/>
      <w:kern w:val="0"/>
      <w:sz w:val="44"/>
      <w:szCs w:val="20"/>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990</Words>
  <Characters>1012</Characters>
  <Lines>0</Lines>
  <Paragraphs>0</Paragraphs>
  <TotalTime>7.33333333333333</TotalTime>
  <ScaleCrop>false</ScaleCrop>
  <LinksUpToDate>false</LinksUpToDate>
  <CharactersWithSpaces>1058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2024-06-27T02:56:00Z</dcterms:created>
  <dc:creator>oa</dc:creator>
  <cp:lastModifiedBy>Jerry</cp:lastModifiedBy>
  <dcterms:modified xsi:type="dcterms:W3CDTF">2024-06-28T08:58:18Z</dcterms:modified>
  <dc:title>经营者集中反垄断审查办事指南</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A49DA2B1AEF64334A7EE894142D350FE_13</vt:lpwstr>
  </property>
</Properties>
</file>